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42280" cy="4319270"/>
                <wp:effectExtent l="0" t="0" r="6350" b="0"/>
                <wp:docPr id="1" name="Shape1"/>
                <a:graphic xmlns:a="http://schemas.openxmlformats.org/drawingml/2006/main">
                  <a:graphicData uri="http://schemas.microsoft.com/office/word/2010/wordprocessingShape">
                    <wps:wsp>
                      <wps:cNvSpPr/>
                      <wps:spPr>
                        <a:xfrm>
                          <a:off x="0" y="0"/>
                          <a:ext cx="554148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6.3pt;height:340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4"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ascii="Times New Roman" w:hAnsi="Times New Roman" w:cs="Times New Roman"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Times New Roman"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Times New Roman" w:cstheme="majorBidi"/>
        </w:rPr>
        <w:t xml:space="preserve">, </w:t>
      </w:r>
      <w:r>
        <w:rPr/>
      </w:r>
      <m:oMath xmlns:m="http://schemas.openxmlformats.org/officeDocument/2006/math"/>
      <w:r>
        <w:rPr>
          <w:rFonts w:cs="Times New Roman"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Times New Roman"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Times New Roman"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Times New Roman"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等线"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φ</w:t>
      </w:r>
      <w:r>
        <w:rPr>
          <w:color w:val="000000" w:themeColor="text1"/>
        </w:rPr>
        <w:t xml:space="preserve">       </w:t>
      </w:r>
      <w:r>
        <w:rPr>
          <w:rFonts w:eastAsia="Calibri" w:cs="Times New Roman" w:cstheme="majorBidi"/>
        </w:rPr>
        <w:t>Nanoparticle volume fraction</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β</w:t>
      </w:r>
      <w:r>
        <w:rPr>
          <w:color w:val="000000" w:themeColor="text1"/>
        </w:rPr>
        <w:t xml:space="preserve">       </w:t>
      </w:r>
      <w:r>
        <w:rPr>
          <w:rFonts w:eastAsia="Calibri" w:cs="Times New Roman"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τ</w:t>
      </w:r>
      <w:r>
        <w:rPr>
          <w:color w:val="000000" w:themeColor="text1"/>
        </w:rPr>
        <w:t xml:space="preserve">       </w:t>
      </w:r>
      <w:r>
        <w:rPr>
          <w:rFonts w:eastAsia="Calibri" w:cs="Times New Roman" w:cstheme="majorBidi"/>
        </w:rPr>
        <w:t>Shear stress, Pa</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ρ</w:t>
      </w:r>
      <w:r>
        <w:rPr>
          <w:color w:val="000000" w:themeColor="text1"/>
        </w:rPr>
        <w:t xml:space="preserve">       </w:t>
      </w:r>
      <w:r>
        <w:rPr>
          <w:rFonts w:eastAsia="Calibri" w:cs="Times New Roman"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 xml:space="preserve">α </w:t>
      </w:r>
      <w:r>
        <w:rPr>
          <w:color w:val="000000" w:themeColor="text1"/>
        </w:rPr>
        <w:t xml:space="preserve">      </w:t>
      </w:r>
      <w:r>
        <w:rPr>
          <w:rFonts w:eastAsia="Calibri" w:cs="Times New Roman"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µ</w:t>
      </w:r>
      <w:r>
        <w:rPr>
          <w:color w:val="000000" w:themeColor="text1"/>
        </w:rPr>
        <w:t xml:space="preserve">       </w:t>
      </w:r>
      <w:r>
        <w:rPr>
          <w:rFonts w:eastAsia="Calibri" w:cs="Times New Roman"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Ѳ</w:t>
      </w:r>
      <w:r>
        <w:rPr>
          <w:color w:val="000000" w:themeColor="text1"/>
        </w:rPr>
        <w:t xml:space="preserve">       </w:t>
      </w:r>
      <w:r>
        <w:rPr>
          <w:rFonts w:eastAsia="Calibri" w:cs="Times New Roman" w:cstheme="majorBidi"/>
        </w:rPr>
        <w:t xml:space="preserve">Dimensionless temperature </w:t>
      </w:r>
    </w:p>
    <w:p>
      <w:pPr>
        <w:pStyle w:val="Normal"/>
        <w:ind w:right="1418" w:hanging="0"/>
        <w:rPr>
          <w:rFonts w:ascii="Times New Roman" w:hAnsi="Times New Roman" w:eastAsia="Calibri" w:cs="Times New Roman"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Times New Roman" w:cstheme="majorBidi"/>
        </w:rPr>
        <w:t>Velocity and thermal boundary-layer thickness, m</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ψ</w:t>
      </w:r>
      <w:r>
        <w:rPr>
          <w:color w:val="000000" w:themeColor="text1"/>
        </w:rPr>
        <w:t xml:space="preserve">       </w:t>
      </w:r>
      <w:r>
        <w:rPr>
          <w:rFonts w:eastAsia="Calibri" w:cs="Times New Roman" w:cstheme="majorBidi"/>
        </w:rPr>
        <w:t>Dimensionless stream function</w:t>
      </w:r>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Times New Roman" w:cstheme="majorBidi"/>
          <w:szCs w:val="22"/>
        </w:rPr>
        <w:t>cold</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Times New Roman" w:cstheme="majorBidi"/>
          <w:szCs w:val="22"/>
        </w:rPr>
        <w:t>hot</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Times New Roman" w:cstheme="majorBidi"/>
          <w:szCs w:val="22"/>
        </w:rPr>
        <w:t>effective</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Times New Roman"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w:t>
      </w:r>
      <w:r>
        <w:rPr>
          <w:color w:val="000000" w:themeColor="text1"/>
          <w:szCs w:val="22"/>
        </w:rPr>
        <w:t>appendix</w:t>
      </w:r>
      <w:r>
        <w:rPr>
          <w:color w:val="000000" w:themeColor="text1"/>
          <w:szCs w:val="22"/>
        </w:rPr>
        <w:t xml:space="preserve"> heat </w:t>
      </w:r>
      <w:r>
        <w:rPr>
          <w:color w:val="000000" w:themeColor="text1"/>
          <w:szCs w:val="22"/>
        </w:rPr>
        <w:t>formula (1)</w:t>
      </w:r>
      <w:r>
        <w:rPr>
          <w:color w:val="000000" w:themeColor="text1"/>
          <w:szCs w:val="22"/>
        </w:rPr>
        <w:t xml:space="preserve"> transfer in square enclosures is largely used in numerous engineering applications such as heat exchangers, buildings, built-in-storage solar collectors and thermal management of electronics </w:t>
      </w:r>
      <w:sdt>
        <w:sdtPr>
          <w:id w:val="1795406626"/>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1565000669"/>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1653235178"/>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1247588779"/>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755367315"/>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470677045"/>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843058604"/>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921926957"/>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690970332"/>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780600639"/>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265402676"/>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679525190"/>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511212585"/>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48689624"/>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1535066874"/>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747597501"/>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139155516"/>
        </w:sdtPr>
        <w:sdtContent>
          <w:r>
            <w:rPr>
              <w:color w:val="000000"/>
              <w:szCs w:val="22"/>
            </w:rPr>
            <w:t>[</w:t>
          </w:r>
          <w:r>
            <w:rPr>
              <w:color w:val="5B9BD5" w:themeColor="accent5"/>
              <w:szCs w:val="22"/>
            </w:rPr>
            <w:t>29</w:t>
          </w:r>
          <w:r>
            <w:rPr>
              <w:color w:val="000000"/>
              <w:szCs w:val="22"/>
            </w:rPr>
            <w:t>,</w:t>
          </w:r>
        </w:sdtContent>
      </w:sdt>
      <w:sdt>
        <w:sdtPr>
          <w:id w:val="1994171489"/>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2035064179"/>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fals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fals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fals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fals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51056374"/>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758697879"/>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1883152873"/>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fals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415279994"/>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651032747"/>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false"/>
        <w:spacing w:lineRule="auto" w:line="276" w:before="0" w:after="0"/>
        <w:textAlignment w:val="baseline"/>
        <w:rPr>
          <w:rFonts w:ascii="Times New Roman" w:hAnsi="Times New Roman" w:eastAsia="等线" w:cs="Times New Roman"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1877197960"/>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1431328247"/>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0"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等线" w:cs="Times New Roman" w:cstheme="majorBidi" w:eastAsiaTheme="minorEastAsia"/>
                <w:bCs/>
                <w:sz w:val="20"/>
              </w:rPr>
            </w:r>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bookmarkStart w:id="6" w:name="_Hlk158899218"/>
            <w:bookmarkEnd w:id="6"/>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fals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fals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fals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等线" w:eastAsiaTheme="minorEastAsia"/>
          <w:kern w:val="2"/>
          <w:szCs w:val="22"/>
        </w:rPr>
        <w:t xml:space="preserve">in </w:t>
      </w:r>
      <w:r>
        <w:rPr>
          <w:rFonts w:eastAsia="等线"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rPr>
      </w:pPr>
      <w:r>
        <w:rPr>
          <w:rFonts w:eastAsia="等线" w:cs="Times New Roman" w:cstheme="majorBidi" w:eastAsiaTheme="minorEastAsia"/>
          <w:b/>
          <w:bCs/>
        </w:rPr>
        <w:t>Table 2:</w:t>
      </w:r>
      <w:r>
        <w:rPr>
          <w:rFonts w:eastAsia="等线" w:cs="Times New Roman"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等线" w:cs="Times New Roman"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等线" w:cs="Times New Roman"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等线" w:cs="Times New Roman" w:cstheme="majorBidi" w:eastAsiaTheme="minorEastAsia"/>
        </w:rPr>
        <w:t>.</w:t>
      </w:r>
    </w:p>
    <w:tbl>
      <w:tblPr>
        <w:tblStyle w:val="af2"/>
        <w:tblW w:w="4252" w:type="dxa"/>
        <w:jc w:val="left"/>
        <w:tblInd w:w="3009"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g</w:t>
            </w:r>
            <w:r>
              <w:rPr>
                <w:rFonts w:eastAsia="等线" w:cs="Times New Roman" w:cstheme="majorBidi" w:eastAsiaTheme="minorEastAsia"/>
                <w:sz w:val="20"/>
              </w:rPr>
              <w:t>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9.5760</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9.6617</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9.8318</w:t>
            </w:r>
          </w:p>
        </w:tc>
        <w:tc>
          <w:tcPr>
            <w:tcW w:w="2125" w:type="dxa"/>
            <w:tcBorders>
              <w:top w:val="nil"/>
              <w:left w:val="nil"/>
              <w:bottom w:val="nil"/>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fals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ascii="Times New Roman" w:hAnsi="Times New Roman" w:cs="Times New Roman"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Times New Roman" w:cstheme="majorBidi"/>
          <w:szCs w:val="22"/>
        </w:rPr>
        <w:t xml:space="preserve">The results of the current study align well with those of </w:t>
      </w:r>
      <w:r>
        <w:rPr>
          <w:rFonts w:eastAsia="Times New Roman"/>
          <w:kern w:val="2"/>
          <w:szCs w:val="22"/>
          <w:lang w:eastAsia="en-US"/>
        </w:rPr>
        <w:t>Ghasemi et al.,</w:t>
      </w:r>
      <w:r>
        <w:rPr>
          <w:rFonts w:cs="Times New Roman"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Times New Roman"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Times New Roman" w:cstheme="majorBidi"/>
          <w:szCs w:val="22"/>
        </w:rPr>
        <w:t>.</w:t>
      </w:r>
      <w:bookmarkStart w:id="8" w:name="_Hlk165367949"/>
      <w:bookmarkEnd w:id="8"/>
    </w:p>
    <w:p>
      <w:pPr>
        <w:pStyle w:val="Normal"/>
        <w:ind w:firstLine="440"/>
        <w:rPr>
          <w:rFonts w:ascii="Times New Roman" w:hAnsi="Times New Roman" w:cs="Times New Roman" w:asciiTheme="majorBidi" w:cstheme="majorBidi" w:hAnsiTheme="majorBidi"/>
          <w:szCs w:val="22"/>
        </w:rPr>
      </w:pPr>
      <w:r>
        <w:rPr>
          <w:rFonts w:cs="Times New Roman"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Times New Roman" w:cstheme="majorBidi"/>
          <w:szCs w:val="22"/>
        </w:rPr>
        <w:t xml:space="preserve"> is made among the current work and the one of Turan et al. </w:t>
      </w:r>
      <w:sdt>
        <w:sdtPr>
          <w:id w:val="1840504294"/>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color w:val="000000"/>
          <w:szCs w:val="22"/>
        </w:rPr>
        <w:t xml:space="preserve"> for </w:t>
      </w:r>
      <w:r>
        <w:rPr>
          <w:rFonts w:cs="Times New Roman"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Times New Roman"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等线" w:cs="Times New Roman"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等线" w:cs="Times New Roman" w:cstheme="majorBidi" w:eastAsiaTheme="minorEastAsia"/>
        </w:rPr>
        <w:t xml:space="preserve"> is represented in </w:t>
      </w:r>
      <w:r>
        <w:rPr>
          <w:rFonts w:eastAsia="等线" w:cs="Times New Roman" w:cstheme="majorBidi" w:eastAsiaTheme="minorEastAsia"/>
          <w:color w:val="5B9BD5" w:themeColor="accent5"/>
        </w:rPr>
        <w:t>Table 3</w:t>
      </w:r>
      <w:r>
        <w:rPr>
          <w:rFonts w:eastAsia="等线" w:cs="Times New Roman" w:cstheme="majorBidi" w:eastAsiaTheme="minorEastAsia"/>
        </w:rPr>
        <w:t xml:space="preserve">. The results agree well with those </w:t>
      </w:r>
      <w:r>
        <w:rPr>
          <w:rFonts w:cs="Times New Roman" w:cstheme="majorBidi"/>
          <w:szCs w:val="22"/>
        </w:rPr>
        <w:t xml:space="preserve">of Turan et al. </w:t>
      </w:r>
      <w:sdt>
        <w:sdtPr>
          <w:id w:val="1992397770"/>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szCs w:val="22"/>
        </w:rPr>
        <w:t xml:space="preserve">, </w:t>
      </w:r>
      <w:r>
        <w:rPr>
          <w:rFonts w:cs="Times New Roman"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Times New Roman"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rFonts w:cs="Times New Roman" w:cs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ascii="Times New Roman" w:hAnsi="Times New Roman" w:eastAsia="Times New Roman" w:cs="Times New Roman"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Times New Roman" w:cstheme="majorBidi"/>
          <w:b/>
          <w:bCs/>
          <w:kern w:val="2"/>
          <w:szCs w:val="22"/>
          <w:lang w:eastAsia="en-US"/>
        </w:rPr>
        <w:t xml:space="preserve"> </w:t>
      </w:r>
      <w:r>
        <w:rPr>
          <w:rFonts w:eastAsia="Times New Roman" w:cs="Times New Roman" w:cstheme="majorBidi"/>
          <w:kern w:val="2"/>
          <w:szCs w:val="22"/>
          <w:lang w:eastAsia="en-US"/>
        </w:rPr>
        <w:t>s</w:t>
      </w:r>
      <w:r>
        <w:rPr>
          <w:rFonts w:eastAsia="Times New Roman" w:cs="Times New Roman" w:cstheme="majorBidi"/>
          <w:kern w:val="2"/>
          <w:szCs w:val="22"/>
          <w:lang w:eastAsia="en-US"/>
        </w:rPr>
        <w:t>treamlines (left) and the isotherms (right) of the current study for.</w:t>
      </w:r>
      <w:r>
        <w:rPr>
          <w:rFonts w:eastAsia="Times New Roman" w:cs="Times New Roman" w:cstheme="majorBidi"/>
          <w:kern w:val="2"/>
          <w:szCs w:val="22"/>
          <w:lang w:eastAsia="en-US"/>
        </w:rPr>
        <w:t>sfjghigu.gvug.12.4.ff.</w:t>
      </w:r>
      <w:r>
        <w:rPr>
          <w:rFonts w:eastAsia="Times New Roman" w:cs="Times New Roman" w:cstheme="majorBidi"/>
          <w:kern w:val="2"/>
          <w:szCs w:val="22"/>
          <w:lang w:eastAsia="en-US"/>
        </w:rPr>
        <w:t xml:space="preserve"> </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w:t>
      </w:r>
      <w:r>
        <w:rPr>
          <w:rFonts w:eastAsia="Times New Roman"/>
          <w:kern w:val="2"/>
          <w:szCs w:val="22"/>
          <w:lang w:eastAsia="en-US"/>
        </w:rPr>
        <w:t>c</w:t>
      </w:r>
      <w:r>
        <w:rPr>
          <w:rFonts w:eastAsia="Times New Roman"/>
          <w:kern w:val="2"/>
          <w:szCs w:val="22"/>
          <w:lang w:eastAsia="en-US"/>
        </w:rPr>
        <w:t>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0"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等线" w:cs="Times New Roman" w:cstheme="majorBidi" w:eastAsiaTheme="minorEastAsia"/>
                <w:sz w:val="20"/>
              </w:rPr>
              <w:t xml:space="preserve">Turan et al. </w:t>
            </w:r>
            <w:sdt>
              <w:sdtPr>
                <w:id w:val="2037077770"/>
              </w:sdtPr>
              <w:sdtContent>
                <w:r>
                  <w:rPr>
                    <w:rFonts w:eastAsia="等线" w:cs="Times New Roman"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i/>
                <w:i/>
                <w:sz w:val="20"/>
              </w:rPr>
            </w:pPr>
            <w:r>
              <w:rPr>
                <w:rFonts w:eastAsia="等线" w:cs="Times New Roman"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fals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33.940</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9.2497</w:t>
            </w:r>
          </w:p>
        </w:tc>
        <w:tc>
          <w:tcPr>
            <w:tcW w:w="1728" w:type="dxa"/>
            <w:tcBorders>
              <w:top w:val="nil"/>
              <w:left w:val="nil"/>
              <w:right w:val="nil"/>
            </w:tcBorders>
            <w:vAlign w:val="center"/>
          </w:tcPr>
          <w:p>
            <w:pPr>
              <w:pStyle w:val="Normal"/>
              <w:suppressAutoHyphens w:val="true"/>
              <w:overflowPunct w:val="false"/>
              <w:spacing w:before="0" w:after="0"/>
              <w:jc w:val="center"/>
              <w:textAlignment w:val="baseline"/>
              <w:rPr>
                <w:rFonts w:eastAsia="等线"/>
                <w:sz w:val="20"/>
              </w:rPr>
            </w:pPr>
            <w:r>
              <w:rPr>
                <w:rFonts w:eastAsia="等线" w:cs="Times New Roman"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spacing w:before="0" w:after="60"/>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16</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17</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499"/>
    <w:bookmarkStart w:id="13" w:name="_Hlk165292500"/>
    <w:bookmarkStart w:id="14" w:name="_Hlk165292718"/>
    <w:bookmarkStart w:id="15" w:name="_Hlk165292719"/>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420"/>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2065</TotalTime>
  <Application>LibreOffice/6.4.7.2$Linux_X86_64 LibreOffice_project/40$Build-2</Application>
  <Pages>17</Pages>
  <Words>4514</Words>
  <Characters>25757</Characters>
  <CharactersWithSpaces>30540</CharactersWithSpaces>
  <Paragraphs>279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2024-07-03T12:54:05Z</dcterms:modified>
  <cp:revision>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